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F876C0" w14:textId="77777777" w:rsidR="0036737B" w:rsidRDefault="00000000">
      <w:pPr>
        <w:pStyle w:val="Heading1"/>
      </w:pPr>
      <w:bookmarkStart w:id="0" w:name="kcor-kirsch-cumulative-outcomes-ratio"/>
      <w:r>
        <w:t>KCOR: Kirsch Cumulative Outcomes Ratio</w:t>
      </w:r>
    </w:p>
    <w:p w14:paraId="74F06263" w14:textId="77777777" w:rsidR="0036737B" w:rsidRDefault="00000000">
      <w:pPr>
        <w:pStyle w:val="Heading2"/>
      </w:pPr>
      <w:bookmarkStart w:id="1" w:name="X1409590ebde5e93b8bb1ea0dcfd7a2567bc9300"/>
      <w:r>
        <w:t>Mortality-Neutralized Cohort Comparison Using Generalized Gompertz Dynamics</w:t>
      </w:r>
    </w:p>
    <w:p w14:paraId="44FB6A79" w14:textId="77777777" w:rsidR="0036737B" w:rsidRDefault="00000000">
      <w:r>
        <w:pict w14:anchorId="07C244BA">
          <v:rect id="_x0000_i1025" style="width:0;height:1.5pt" o:hralign="center" o:hrstd="t" o:hr="t"/>
        </w:pict>
      </w:r>
    </w:p>
    <w:p w14:paraId="7C307D31" w14:textId="77777777" w:rsidR="0036737B" w:rsidRDefault="00000000">
      <w:pPr>
        <w:pStyle w:val="Heading2"/>
      </w:pPr>
      <w:bookmarkStart w:id="2" w:name="overview"/>
      <w:bookmarkEnd w:id="1"/>
      <w:r>
        <w:t>1. Overview</w:t>
      </w:r>
    </w:p>
    <w:p w14:paraId="6B3FCDD0" w14:textId="77777777" w:rsidR="0036737B" w:rsidRDefault="00000000">
      <w:pPr>
        <w:pStyle w:val="FirstParagraph"/>
      </w:pPr>
      <w:r>
        <w:rPr>
          <w:b/>
          <w:bCs/>
        </w:rPr>
        <w:t>KCOR (Kirsch Cumulative Outcomes Ratio)</w:t>
      </w:r>
      <w:r>
        <w:t xml:space="preserve"> is a method for estimating the </w:t>
      </w:r>
      <w:r>
        <w:rPr>
          <w:b/>
          <w:bCs/>
        </w:rPr>
        <w:t>net mortality impact of an intervention</w:t>
      </w:r>
      <w:r>
        <w:t xml:space="preserve"> (e.g., vaccination) from </w:t>
      </w:r>
      <w:r>
        <w:rPr>
          <w:b/>
          <w:bCs/>
        </w:rPr>
        <w:t>retrospective observational data</w:t>
      </w:r>
      <w:r>
        <w:t xml:space="preserve"> when cohorts differ in </w:t>
      </w:r>
      <w:r>
        <w:rPr>
          <w:b/>
          <w:bCs/>
        </w:rPr>
        <w:t>baseline mortality and frailty</w:t>
      </w:r>
      <w:r>
        <w:t xml:space="preserve"> and therefore cannot be validly compared using standard epidemiological techniques.</w:t>
      </w:r>
    </w:p>
    <w:p w14:paraId="09C79F13" w14:textId="77777777" w:rsidR="0036737B" w:rsidRDefault="00000000">
      <w:pPr>
        <w:pStyle w:val="BodyText"/>
      </w:pPr>
      <w:r>
        <w:t xml:space="preserve">KCOR addresses a common failure mode in retrospective intervention studies: when cohort selection induces </w:t>
      </w:r>
      <w:r>
        <w:rPr>
          <w:b/>
          <w:bCs/>
        </w:rPr>
        <w:t>systematic differences in mortality curvature</w:t>
      </w:r>
      <w:r>
        <w:t>, standard methods confound these structural differences with treatment effects.</w:t>
      </w:r>
    </w:p>
    <w:p w14:paraId="4A2E4EC7" w14:textId="77777777" w:rsidR="0036737B" w:rsidRDefault="00000000">
      <w:r>
        <w:pict w14:anchorId="42D359C7">
          <v:rect id="_x0000_i1026" style="width:0;height:1.5pt" o:hralign="center" o:hrstd="t" o:hr="t"/>
        </w:pict>
      </w:r>
    </w:p>
    <w:p w14:paraId="6D910EF1" w14:textId="77777777" w:rsidR="0036737B" w:rsidRDefault="00000000">
      <w:pPr>
        <w:pStyle w:val="Heading2"/>
      </w:pPr>
      <w:bookmarkStart w:id="3" w:name="why-standard-methods-fail"/>
      <w:bookmarkEnd w:id="2"/>
      <w:r>
        <w:t>2. Why Standard Methods Fail</w:t>
      </w:r>
    </w:p>
    <w:p w14:paraId="70F72DE8" w14:textId="77777777" w:rsidR="0036737B" w:rsidRDefault="00000000">
      <w:pPr>
        <w:pStyle w:val="FirstParagraph"/>
      </w:pPr>
      <w:r>
        <w:t xml:space="preserve">Vaccinated and unvaccinated cohorts are often </w:t>
      </w:r>
      <w:r>
        <w:rPr>
          <w:b/>
          <w:bCs/>
        </w:rPr>
        <w:t>not exchangeable</w:t>
      </w:r>
      <w:r>
        <w:t>:</w:t>
      </w:r>
    </w:p>
    <w:p w14:paraId="55A90EF2" w14:textId="77777777" w:rsidR="0036737B" w:rsidRDefault="00000000">
      <w:pPr>
        <w:pStyle w:val="Compact"/>
        <w:numPr>
          <w:ilvl w:val="0"/>
          <w:numId w:val="2"/>
        </w:numPr>
      </w:pPr>
      <w:r>
        <w:t>Selection bias (static and dynamic Healthy Vaccinee Effect, HVE) creates cohorts with different frailty compositions</w:t>
      </w:r>
    </w:p>
    <w:p w14:paraId="51AF48E2" w14:textId="77777777" w:rsidR="0036737B" w:rsidRDefault="00000000">
      <w:pPr>
        <w:pStyle w:val="Compact"/>
        <w:numPr>
          <w:ilvl w:val="0"/>
          <w:numId w:val="2"/>
        </w:numPr>
      </w:pPr>
      <w:r>
        <w:t xml:space="preserve">These differences manifest as </w:t>
      </w:r>
      <w:r>
        <w:rPr>
          <w:b/>
          <w:bCs/>
        </w:rPr>
        <w:t>different hazard slopes (curvature)</w:t>
      </w:r>
      <w:r>
        <w:t>, not merely different hazard levels</w:t>
      </w:r>
    </w:p>
    <w:p w14:paraId="4C8BE051" w14:textId="77777777" w:rsidR="0036737B" w:rsidRDefault="00000000">
      <w:pPr>
        <w:pStyle w:val="Compact"/>
        <w:numPr>
          <w:ilvl w:val="0"/>
          <w:numId w:val="2"/>
        </w:numPr>
      </w:pPr>
      <w:r>
        <w:t>This violates assumptions underlying Cox proportional hazards models, ASMRs, IPTW/probabilistic matching, and 1:1 matching</w:t>
      </w:r>
    </w:p>
    <w:p w14:paraId="2D295194" w14:textId="77777777" w:rsidR="0036737B" w:rsidRDefault="00000000">
      <w:pPr>
        <w:pStyle w:val="FirstParagraph"/>
      </w:pPr>
      <w:r>
        <w:t>Even when covariates are balanced, differential frailty depletion over event time breaks proportional hazards.</w:t>
      </w:r>
    </w:p>
    <w:p w14:paraId="252B5F8D" w14:textId="77777777" w:rsidR="0036737B" w:rsidRDefault="00000000">
      <w:r>
        <w:pict w14:anchorId="412808B3">
          <v:rect id="_x0000_i1027" style="width:0;height:1.5pt" o:hralign="center" o:hrstd="t" o:hr="t"/>
        </w:pict>
      </w:r>
    </w:p>
    <w:p w14:paraId="0BFD7453" w14:textId="77777777" w:rsidR="0036737B" w:rsidRDefault="00000000">
      <w:pPr>
        <w:pStyle w:val="Heading2"/>
      </w:pPr>
      <w:bookmarkStart w:id="4" w:name="core-insight-of-kcor"/>
      <w:bookmarkEnd w:id="3"/>
      <w:r>
        <w:t>3. Core Insight of KCOR</w:t>
      </w:r>
    </w:p>
    <w:p w14:paraId="15644E4D" w14:textId="77777777" w:rsidR="0036737B" w:rsidRDefault="00000000">
      <w:pPr>
        <w:pStyle w:val="BlockText"/>
      </w:pPr>
      <w:r>
        <w:rPr>
          <w:b/>
          <w:bCs/>
        </w:rPr>
        <w:t>Cohorts cannot be compared fairly unless their intrinsic mortality curvature is first neutralized.</w:t>
      </w:r>
    </w:p>
    <w:p w14:paraId="441C91A6" w14:textId="77777777" w:rsidR="0036737B" w:rsidRDefault="00000000">
      <w:pPr>
        <w:pStyle w:val="FirstParagraph"/>
      </w:pPr>
      <w:r>
        <w:t>Observed mortality differences reflect: 1. Baseline Gompertz mortality</w:t>
      </w:r>
      <w:r>
        <w:br/>
        <w:t>2. Frailty mixing and depletion of susceptibles</w:t>
      </w:r>
      <w:r>
        <w:br/>
        <w:t>3. Selection bias (HVE)</w:t>
      </w:r>
      <w:r>
        <w:br/>
        <w:t>4. Any true intervention effect</w:t>
      </w:r>
    </w:p>
    <w:p w14:paraId="170C778E" w14:textId="77777777" w:rsidR="0036737B" w:rsidRDefault="00000000">
      <w:pPr>
        <w:pStyle w:val="BodyText"/>
      </w:pPr>
      <w:r>
        <w:t xml:space="preserve">KCOR removes (2) and (3) by </w:t>
      </w:r>
      <w:r>
        <w:rPr>
          <w:b/>
          <w:bCs/>
        </w:rPr>
        <w:t>directly estimating and neutralizing cohort-specific mortality curvature in log-hazard space</w:t>
      </w:r>
      <w:r>
        <w:t xml:space="preserve"> </w:t>
      </w:r>
      <w:r>
        <w:rPr>
          <w:i/>
          <w:iCs/>
        </w:rPr>
        <w:t>before</w:t>
      </w:r>
      <w:r>
        <w:t xml:space="preserve"> comparing cohorts.</w:t>
      </w:r>
    </w:p>
    <w:p w14:paraId="54534BCA" w14:textId="77777777" w:rsidR="0036737B" w:rsidRDefault="00000000">
      <w:r>
        <w:lastRenderedPageBreak/>
        <w:pict w14:anchorId="37E299F6">
          <v:rect id="_x0000_i1028" style="width:0;height:1.5pt" o:hralign="center" o:hrstd="t" o:hr="t"/>
        </w:pict>
      </w:r>
    </w:p>
    <w:p w14:paraId="1A8F6FFC" w14:textId="77777777" w:rsidR="0036737B" w:rsidRDefault="00000000">
      <w:pPr>
        <w:pStyle w:val="Heading2"/>
      </w:pPr>
      <w:bookmarkStart w:id="5" w:name="cohort-construction"/>
      <w:bookmarkEnd w:id="4"/>
      <w:r>
        <w:t>4. Cohort Construction</w:t>
      </w:r>
    </w:p>
    <w:p w14:paraId="0BC7C3BB" w14:textId="77777777" w:rsidR="0036737B" w:rsidRDefault="00000000">
      <w:pPr>
        <w:pStyle w:val="Compact"/>
        <w:numPr>
          <w:ilvl w:val="0"/>
          <w:numId w:val="3"/>
        </w:numPr>
      </w:pPr>
      <w:r>
        <w:t>Cohorts are fixed at enrollment</w:t>
      </w:r>
    </w:p>
    <w:p w14:paraId="09ACA4B8" w14:textId="77777777" w:rsidR="0036737B" w:rsidRDefault="00000000">
      <w:pPr>
        <w:pStyle w:val="Compact"/>
        <w:numPr>
          <w:ilvl w:val="0"/>
          <w:numId w:val="3"/>
        </w:numPr>
      </w:pPr>
      <w:r>
        <w:t>Assignment is based on intervention status at enrollment week</w:t>
      </w:r>
    </w:p>
    <w:p w14:paraId="3F37DAC5" w14:textId="77777777" w:rsidR="0036737B" w:rsidRDefault="00000000">
      <w:pPr>
        <w:pStyle w:val="Compact"/>
        <w:numPr>
          <w:ilvl w:val="0"/>
          <w:numId w:val="3"/>
        </w:numPr>
      </w:pPr>
      <w:r>
        <w:t>No censoring and no cohort switching (avoids health-seeking bias)</w:t>
      </w:r>
    </w:p>
    <w:p w14:paraId="5CD08CAF" w14:textId="77777777" w:rsidR="0036737B" w:rsidRDefault="00000000">
      <w:pPr>
        <w:pStyle w:val="Compact"/>
        <w:numPr>
          <w:ilvl w:val="0"/>
          <w:numId w:val="3"/>
        </w:numPr>
      </w:pPr>
      <w:r>
        <w:t xml:space="preserve">Analysis proceeds forward in </w:t>
      </w:r>
      <w:r>
        <w:rPr>
          <w:b/>
          <w:bCs/>
        </w:rPr>
        <w:t>event time</w:t>
      </w:r>
    </w:p>
    <w:p w14:paraId="47B1FC9A" w14:textId="77777777" w:rsidR="0036737B" w:rsidRDefault="00000000">
      <w:r>
        <w:pict w14:anchorId="0B395188">
          <v:rect id="_x0000_i1029" style="width:0;height:1.5pt" o:hralign="center" o:hrstd="t" o:hr="t"/>
        </w:pict>
      </w:r>
    </w:p>
    <w:p w14:paraId="1234706C" w14:textId="77777777" w:rsidR="0036737B" w:rsidRDefault="00000000">
      <w:pPr>
        <w:pStyle w:val="Heading2"/>
      </w:pPr>
      <w:bookmarkStart w:id="6" w:name="hazard-computation"/>
      <w:bookmarkEnd w:id="5"/>
      <w:r>
        <w:t>5. Hazard Computation</w:t>
      </w:r>
    </w:p>
    <w:p w14:paraId="00C995DC" w14:textId="77777777" w:rsidR="0036737B" w:rsidRDefault="00000000">
      <w:pPr>
        <w:pStyle w:val="FirstParagraph"/>
      </w:pPr>
      <w:r>
        <w:t>Let:</w:t>
      </w:r>
    </w:p>
    <w:p w14:paraId="5086DC5B" w14:textId="77777777" w:rsidR="0036737B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s</w:t>
      </w:r>
      <w:r>
        <w:t xml:space="preserve"> = event time since cohort enrollment (e.g., weeks since enrollment)</w:t>
      </w:r>
    </w:p>
    <w:p w14:paraId="60C07B2E" w14:textId="77777777" w:rsidR="0036737B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D(s)</w:t>
      </w:r>
      <w:r>
        <w:t xml:space="preserve"> = deaths occurring during interval </w:t>
      </w:r>
      <w:r>
        <w:rPr>
          <w:i/>
          <w:iCs/>
        </w:rPr>
        <w:t>s</w:t>
      </w:r>
    </w:p>
    <w:p w14:paraId="53427D22" w14:textId="77777777" w:rsidR="0036737B" w:rsidRDefault="00000000">
      <w:pPr>
        <w:pStyle w:val="Compact"/>
        <w:numPr>
          <w:ilvl w:val="0"/>
          <w:numId w:val="4"/>
        </w:numPr>
      </w:pPr>
      <w:r>
        <w:rPr>
          <w:b/>
          <w:bCs/>
        </w:rPr>
        <w:t>N(s)</w:t>
      </w:r>
      <w:r>
        <w:t xml:space="preserve"> = number alive at the start of interval </w:t>
      </w:r>
      <w:r>
        <w:rPr>
          <w:i/>
          <w:iCs/>
        </w:rPr>
        <w:t>s</w:t>
      </w:r>
    </w:p>
    <w:p w14:paraId="38C770FF" w14:textId="77777777" w:rsidR="0036737B" w:rsidRDefault="00000000">
      <w:pPr>
        <w:pStyle w:val="FirstParagraph"/>
      </w:pPr>
      <w:r>
        <w:t xml:space="preserve">Hazard is treated as </w:t>
      </w:r>
      <w:r>
        <w:rPr>
          <w:b/>
          <w:bCs/>
        </w:rPr>
        <w:t>piecewise-constant</w:t>
      </w:r>
      <w:r>
        <w:t xml:space="preserve"> over weekly intervals.</w:t>
      </w:r>
      <w:r>
        <w:br/>
        <w:t>The discrete-time hazard is computed as:</w:t>
      </w:r>
    </w:p>
    <w:p w14:paraId="5646B2D6" w14:textId="77777777" w:rsidR="0036737B" w:rsidRDefault="0000000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=-ln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  <m:d>
                    <m:dPr>
                      <m:ctrlPr>
                        <w:rPr>
                          <w:rFonts w:ascii="Cambria Math" w:hAnsi="Cambria Math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s</m:t>
                      </m:r>
                    </m:e>
                  </m:d>
                </m:den>
              </m:f>
            </m:e>
          </m:d>
        </m:oMath>
      </m:oMathPara>
    </w:p>
    <w:p w14:paraId="7147B187" w14:textId="77777777" w:rsidR="0036737B" w:rsidRDefault="00000000">
      <w:r>
        <w:pict w14:anchorId="30F975BF">
          <v:rect id="_x0000_i1030" style="width:0;height:1.5pt" o:hralign="center" o:hrstd="t" o:hr="t"/>
        </w:pict>
      </w:r>
    </w:p>
    <w:p w14:paraId="6672768F" w14:textId="77777777" w:rsidR="0036737B" w:rsidRDefault="00000000">
      <w:pPr>
        <w:pStyle w:val="Heading2"/>
      </w:pPr>
      <w:bookmarkStart w:id="7" w:name="mortality-model"/>
      <w:bookmarkEnd w:id="6"/>
      <w:r>
        <w:t>6. Mortality Model</w:t>
      </w:r>
    </w:p>
    <w:p w14:paraId="503B4927" w14:textId="77777777" w:rsidR="0036737B" w:rsidRDefault="00000000">
      <w:pPr>
        <w:pStyle w:val="FirstParagraph"/>
      </w:pPr>
      <w:r>
        <w:t>At the individual level, adult human mortality is well approximated by Gompertz growth:</w:t>
      </w:r>
    </w:p>
    <w:p w14:paraId="0D724B04" w14:textId="77777777" w:rsidR="0036737B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i</m:t>
              </m:r>
            </m:sub>
          </m:sSub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w:rPr>
                  <w:rFonts w:ascii="Cambria Math" w:hAnsi="Cambria Math"/>
                </w:rPr>
                <m:t>ks</m:t>
              </m:r>
            </m:sup>
          </m:sSup>
        </m:oMath>
      </m:oMathPara>
    </w:p>
    <w:p w14:paraId="74B496DE" w14:textId="77777777" w:rsidR="0036737B" w:rsidRDefault="00000000">
      <w:pPr>
        <w:pStyle w:val="FirstParagraph"/>
      </w:pPr>
      <w:r>
        <w:t xml:space="preserve">where: -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z</m:t>
            </m:r>
          </m:e>
          <m:sub>
            <m:r>
              <w:rPr>
                <w:rFonts w:ascii="Cambria Math" w:hAnsi="Cambria Math"/>
              </w:rPr>
              <m:t>i</m:t>
            </m:r>
          </m:sub>
        </m:sSub>
      </m:oMath>
      <w:r>
        <w:t xml:space="preserve"> is individual frailty - </w:t>
      </w:r>
      <m:oMath>
        <m:r>
          <w:rPr>
            <w:rFonts w:ascii="Cambria Math" w:hAnsi="Cambria Math"/>
          </w:rPr>
          <m:t>k</m:t>
        </m:r>
      </m:oMath>
      <w:r>
        <w:t xml:space="preserve"> is the Gompertz log-slope</w:t>
      </w:r>
    </w:p>
    <w:p w14:paraId="4F0CA840" w14:textId="77777777" w:rsidR="0036737B" w:rsidRDefault="00000000">
      <w:pPr>
        <w:pStyle w:val="BodyText"/>
      </w:pPr>
      <w:r>
        <w:t>Population-level deviations arise from frailty mixing and selective depletion.</w:t>
      </w:r>
    </w:p>
    <w:p w14:paraId="339F84C7" w14:textId="77777777" w:rsidR="0036737B" w:rsidRDefault="00000000">
      <w:r>
        <w:pict w14:anchorId="6D26E1B9">
          <v:rect id="_x0000_i1031" style="width:0;height:1.5pt" o:hralign="center" o:hrstd="t" o:hr="t"/>
        </w:pict>
      </w:r>
    </w:p>
    <w:p w14:paraId="09B5A4DB" w14:textId="77777777" w:rsidR="0036737B" w:rsidRDefault="00000000">
      <w:pPr>
        <w:pStyle w:val="Heading2"/>
      </w:pPr>
      <w:bookmarkStart w:id="8" w:name="X7a0e73336abe611f0b1b1bf5364c02e26506d11"/>
      <w:bookmarkEnd w:id="7"/>
      <w:r>
        <w:t>7. Generalized Gompertz–Frailty Model (Used in KCOR)</w:t>
      </w:r>
    </w:p>
    <w:p w14:paraId="188221E1" w14:textId="77777777" w:rsidR="0036737B" w:rsidRDefault="00000000">
      <w:pPr>
        <w:pStyle w:val="FirstParagraph"/>
      </w:pPr>
      <w:r>
        <w:t xml:space="preserve">Cohorts formed by selection (e.g., vaccination choice or timing) are not well described by gamma frailty. KCOR therefore models cohort-level mortality curvature using the following </w:t>
      </w:r>
      <w:r>
        <w:rPr>
          <w:b/>
          <w:bCs/>
        </w:rPr>
        <w:t>4-parameter generalized form</w:t>
      </w:r>
      <w:r>
        <w:t>:</w:t>
      </w:r>
    </w:p>
    <w:p w14:paraId="535A70AE" w14:textId="77777777" w:rsidR="0036737B" w:rsidRDefault="00000000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log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C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</m:sSub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sub>
              </m:sSub>
            </m:e>
          </m:d>
          <m:r>
            <w:rPr>
              <w:rFonts w:ascii="Cambria Math" w:hAnsi="Cambria Math"/>
            </w:rPr>
            <m:t> τ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τ</m:t>
                  </m:r>
                </m:sup>
              </m:sSup>
            </m:e>
          </m:d>
        </m:oMath>
      </m:oMathPara>
    </w:p>
    <w:p w14:paraId="4FA1A90A" w14:textId="77777777" w:rsidR="0036737B" w:rsidRDefault="00000000">
      <w:pPr>
        <w:pStyle w:val="FirstParagraph"/>
      </w:pPr>
      <w:r>
        <w:rPr>
          <w:b/>
          <w:bCs/>
        </w:rPr>
        <w:t>Parameters:</w:t>
      </w:r>
    </w:p>
    <w:p w14:paraId="07DEB8B5" w14:textId="6A3A7246" w:rsidR="0036737B" w:rsidRDefault="00000000">
      <w:pPr>
        <w:pStyle w:val="Compact"/>
        <w:numPr>
          <w:ilvl w:val="0"/>
          <w:numId w:val="5"/>
        </w:numPr>
      </w:pPr>
      <m:oMath>
        <m:r>
          <w:rPr>
            <w:rFonts w:ascii="Cambria Math" w:hAnsi="Cambria Math"/>
          </w:rPr>
          <m:t>C</m:t>
        </m:r>
      </m:oMath>
      <w:r>
        <w:t xml:space="preserve"> : scale constant</w:t>
      </w:r>
    </w:p>
    <w:p w14:paraId="0660A397" w14:textId="28E462BD" w:rsidR="0036737B" w:rsidRDefault="00000000">
      <w:pPr>
        <w:pStyle w:val="Compact"/>
        <w:numPr>
          <w:ilvl w:val="0"/>
          <w:numId w:val="5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: initial cohort log-slope</w:t>
      </w:r>
    </w:p>
    <w:p w14:paraId="4470954C" w14:textId="5CACBF79" w:rsidR="0036737B" w:rsidRDefault="00000000">
      <w:pPr>
        <w:pStyle w:val="Compact"/>
        <w:numPr>
          <w:ilvl w:val="0"/>
          <w:numId w:val="5"/>
        </w:numPr>
      </w:pP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</m:oMath>
      <w:r>
        <w:t xml:space="preserve"> : asymptotic Gompertz log-slope</w:t>
      </w:r>
    </w:p>
    <w:p w14:paraId="2E1C5C5A" w14:textId="77777777" w:rsidR="0036737B" w:rsidRDefault="00000000">
      <w:pPr>
        <w:pStyle w:val="Compact"/>
        <w:numPr>
          <w:ilvl w:val="0"/>
          <w:numId w:val="5"/>
        </w:numPr>
      </w:pPr>
      <m:oMath>
        <m:r>
          <w:rPr>
            <w:rFonts w:ascii="Cambria Math" w:hAnsi="Cambria Math"/>
          </w:rPr>
          <m:t>τ</m:t>
        </m:r>
      </m:oMath>
      <w:r>
        <w:t xml:space="preserve"> : relaxation time constant</w:t>
      </w:r>
    </w:p>
    <w:p w14:paraId="110FB713" w14:textId="77777777" w:rsidR="0036737B" w:rsidRDefault="00000000">
      <w:pPr>
        <w:pStyle w:val="FirstParagraph"/>
      </w:pPr>
      <w:r>
        <w:t>The instantaneous log-slope is:</w:t>
      </w:r>
    </w:p>
    <w:p w14:paraId="22EF073B" w14:textId="77777777" w:rsidR="0036737B" w:rsidRDefault="0000000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k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</m:t>
              </m:r>
            </m:num>
            <m:den>
              <m:r>
                <w:rPr>
                  <w:rFonts w:ascii="Cambria Math" w:hAnsi="Cambria Math"/>
                </w:rPr>
                <m:t>ds</m:t>
              </m:r>
            </m:den>
          </m:f>
          <m:r>
            <m:rPr>
              <m:sty m:val="p"/>
            </m:rPr>
            <w:rPr>
              <w:rFonts w:ascii="Cambria Math" w:hAnsi="Cambria Math"/>
            </w:rPr>
            <m:t>log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</m:sSub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sub>
              </m:sSub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/</m:t>
              </m:r>
              <m:r>
                <w:rPr>
                  <w:rFonts w:ascii="Cambria Math" w:hAnsi="Cambria Math"/>
                </w:rPr>
                <m:t>τ</m:t>
              </m:r>
            </m:sup>
          </m:sSup>
        </m:oMath>
      </m:oMathPara>
    </w:p>
    <w:p w14:paraId="46F5262B" w14:textId="77777777" w:rsidR="0036737B" w:rsidRDefault="00000000">
      <w:pPr>
        <w:pStyle w:val="FirstParagraph"/>
      </w:pPr>
      <w:r>
        <w:t xml:space="preserve">Thus the slope relaxes smoothly from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at enrollment toward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</m:oMath>
      <w:r>
        <w:t xml:space="preserve"> as </w:t>
      </w:r>
      <m:oMath>
        <m:r>
          <w:rPr>
            <w:rFonts w:ascii="Cambria Math" w:hAnsi="Cambria Math"/>
          </w:rPr>
          <m:t>s</m:t>
        </m:r>
        <m:r>
          <m:rPr>
            <m:sty m:val="p"/>
          </m:rPr>
          <w:rPr>
            <w:rFonts w:ascii="Cambria Math" w:hAnsi="Cambria Math"/>
          </w:rPr>
          <m:t>→∞</m:t>
        </m:r>
      </m:oMath>
      <w:r>
        <w:t>, capturing depletion and resilience dynamics without assuming gamma frailty.</w:t>
      </w:r>
    </w:p>
    <w:p w14:paraId="45C62141" w14:textId="77777777" w:rsidR="0036737B" w:rsidRDefault="00000000">
      <w:r>
        <w:pict w14:anchorId="07AE5F09">
          <v:rect id="_x0000_i1032" style="width:0;height:1.5pt" o:hralign="center" o:hrstd="t" o:hr="t"/>
        </w:pict>
      </w:r>
    </w:p>
    <w:p w14:paraId="5CF68816" w14:textId="77777777" w:rsidR="0036737B" w:rsidRDefault="00000000">
      <w:pPr>
        <w:pStyle w:val="Heading2"/>
      </w:pPr>
      <w:bookmarkStart w:id="9" w:name="slope-estimation"/>
      <w:bookmarkEnd w:id="8"/>
      <w:r>
        <w:t>8. Slope Estimation</w:t>
      </w:r>
    </w:p>
    <w:p w14:paraId="78CFAD26" w14:textId="77777777" w:rsidR="0036737B" w:rsidRDefault="00000000">
      <w:pPr>
        <w:numPr>
          <w:ilvl w:val="0"/>
          <w:numId w:val="6"/>
        </w:numPr>
      </w:pPr>
      <w:r>
        <w:rPr>
          <w:b/>
          <w:bCs/>
        </w:rPr>
        <w:t>Ages &lt; 80</w:t>
      </w:r>
      <w:r>
        <w:t>: fit</w:t>
      </w:r>
      <w:r>
        <w:br/>
      </w:r>
    </w:p>
    <w:p w14:paraId="52327FFE" w14:textId="77777777" w:rsidR="0036737B" w:rsidRDefault="00000000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log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α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βs</m:t>
          </m:r>
        </m:oMath>
      </m:oMathPara>
    </w:p>
    <w:p w14:paraId="76651068" w14:textId="77777777" w:rsidR="0036737B" w:rsidRDefault="00000000">
      <w:pPr>
        <w:numPr>
          <w:ilvl w:val="0"/>
          <w:numId w:val="1"/>
        </w:numPr>
      </w:pPr>
      <w:r>
        <w:t>using quantile regression (τ = 0.5), which is robust to transient shocks and outliers</w:t>
      </w:r>
    </w:p>
    <w:p w14:paraId="1E335D85" w14:textId="77777777" w:rsidR="0036737B" w:rsidRDefault="00000000">
      <w:pPr>
        <w:numPr>
          <w:ilvl w:val="0"/>
          <w:numId w:val="6"/>
        </w:numPr>
      </w:pPr>
      <w:r>
        <w:rPr>
          <w:b/>
          <w:bCs/>
        </w:rPr>
        <w:t>Ages ≥ 80</w:t>
      </w:r>
      <w:r>
        <w:t xml:space="preserve">: fit the generalized model above and estimate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w:rPr>
                    <w:rFonts w:ascii="Cambria Math" w:hAnsi="Cambria Math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k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∞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,</m:t>
            </m:r>
            <m:r>
              <w:rPr>
                <w:rFonts w:ascii="Cambria Math" w:hAnsi="Cambria Math"/>
              </w:rPr>
              <m:t>τ</m:t>
            </m:r>
          </m:e>
        </m:d>
      </m:oMath>
    </w:p>
    <w:p w14:paraId="339774FC" w14:textId="77777777" w:rsidR="0036737B" w:rsidRDefault="00000000">
      <w:r>
        <w:pict w14:anchorId="4780943E">
          <v:rect id="_x0000_i1033" style="width:0;height:1.5pt" o:hralign="center" o:hrstd="t" o:hr="t"/>
        </w:pict>
      </w:r>
    </w:p>
    <w:p w14:paraId="546FADD4" w14:textId="77777777" w:rsidR="0036737B" w:rsidRDefault="00000000">
      <w:pPr>
        <w:pStyle w:val="Heading2"/>
      </w:pPr>
      <w:bookmarkStart w:id="10" w:name="slope-shape-normalization"/>
      <w:bookmarkEnd w:id="9"/>
      <w:r>
        <w:t>9. Slope / Shape Normalization</w:t>
      </w:r>
    </w:p>
    <w:p w14:paraId="5B6C8664" w14:textId="77777777" w:rsidR="0036737B" w:rsidRDefault="00000000">
      <w:pPr>
        <w:pStyle w:val="FirstParagraph"/>
      </w:pPr>
      <w:r>
        <w:t xml:space="preserve">KCOR removes </w:t>
      </w:r>
      <w:r>
        <w:rPr>
          <w:b/>
          <w:bCs/>
        </w:rPr>
        <w:t>cohort-specific mortality curvature</w:t>
      </w:r>
      <w:r>
        <w:t xml:space="preserve"> by subtracting the fitted shape in </w:t>
      </w:r>
      <w:r>
        <w:rPr>
          <w:b/>
          <w:bCs/>
        </w:rPr>
        <w:t>log-hazard space</w:t>
      </w:r>
      <w:r>
        <w:t>. Normalization is performed in hazard space, not cumulative mortality space.</w:t>
      </w:r>
    </w:p>
    <w:p w14:paraId="6D6C8524" w14:textId="77777777" w:rsidR="0036737B" w:rsidRDefault="00000000">
      <w:pPr>
        <w:pStyle w:val="Heading3"/>
      </w:pPr>
      <w:bookmarkStart w:id="11" w:name="linear-gompertz-case-ages-80"/>
      <w:r>
        <w:t>9.1 Linear (Gompertz) case — ages &lt; 80</w:t>
      </w:r>
    </w:p>
    <w:p w14:paraId="773C959C" w14:textId="77777777" w:rsidR="0036737B" w:rsidRDefault="00000000">
      <w:pPr>
        <w:pStyle w:val="FirstParagraph"/>
      </w:pPr>
      <w:r>
        <w:t>When cohort mortality is well approximated by a log-linear model:</w:t>
      </w:r>
    </w:p>
    <w:p w14:paraId="6A447249" w14:textId="77777777" w:rsidR="0036737B" w:rsidRDefault="00000000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log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α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r>
            <w:rPr>
              <w:rFonts w:ascii="Cambria Math" w:hAnsi="Cambria Math"/>
            </w:rPr>
            <m:t>βs</m:t>
          </m:r>
        </m:oMath>
      </m:oMathPara>
    </w:p>
    <w:p w14:paraId="5EE15B05" w14:textId="77777777" w:rsidR="0036737B" w:rsidRDefault="00000000">
      <w:pPr>
        <w:pStyle w:val="FirstParagraph"/>
      </w:pPr>
      <w:r>
        <w:t>the cohort-specific shape is:</w:t>
      </w:r>
    </w:p>
    <w:p w14:paraId="066DBC5E" w14:textId="77777777" w:rsidR="0036737B" w:rsidRDefault="0000000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βs</m:t>
          </m:r>
        </m:oMath>
      </m:oMathPara>
    </w:p>
    <w:p w14:paraId="3AE004B1" w14:textId="77777777" w:rsidR="0036737B" w:rsidRDefault="00000000">
      <w:pPr>
        <w:pStyle w:val="FirstParagraph"/>
      </w:pPr>
      <w:r>
        <w:t>Normalization is:</w:t>
      </w:r>
    </w:p>
    <w:p w14:paraId="3F20CA06" w14:textId="77777777" w:rsidR="0036737B" w:rsidRDefault="00000000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log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m:t>adj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=log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βs</m:t>
          </m:r>
        </m:oMath>
      </m:oMathPara>
    </w:p>
    <w:p w14:paraId="67F32C35" w14:textId="77777777" w:rsidR="0036737B" w:rsidRDefault="00000000">
      <w:pPr>
        <w:pStyle w:val="FirstParagraph"/>
      </w:pPr>
      <w:r>
        <w:t>or equivalently,</w:t>
      </w:r>
    </w:p>
    <w:p w14:paraId="76F3D9E6" w14:textId="77777777" w:rsidR="0036737B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m:t>adj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sSup>
            <m:sSupPr>
              <m:ctrlPr>
                <w:rPr>
                  <w:rFonts w:ascii="Cambria Math" w:hAnsi="Cambria Math"/>
                </w:rPr>
              </m:ctrlPr>
            </m:sSupPr>
            <m:e>
              <m:r>
                <w:rPr>
                  <w:rFonts w:ascii="Cambria Math" w:hAnsi="Cambria Math"/>
                </w:rPr>
                <m:t>e</m:t>
              </m:r>
            </m:e>
            <m:sup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βs</m:t>
              </m:r>
            </m:sup>
          </m:sSup>
        </m:oMath>
      </m:oMathPara>
    </w:p>
    <w:p w14:paraId="03FB34EF" w14:textId="77777777" w:rsidR="0036737B" w:rsidRDefault="00000000">
      <w:pPr>
        <w:pStyle w:val="Heading3"/>
      </w:pPr>
      <w:bookmarkStart w:id="12" w:name="generalized-curved-case-ages-80"/>
      <w:bookmarkEnd w:id="11"/>
      <w:r>
        <w:t>9.2 Generalized (curved) case — ages ≥ 80</w:t>
      </w:r>
    </w:p>
    <w:p w14:paraId="572A6959" w14:textId="77777777" w:rsidR="0036737B" w:rsidRDefault="00000000">
      <w:pPr>
        <w:pStyle w:val="FirstParagraph"/>
      </w:pPr>
      <w:r>
        <w:t>For cohorts modeled using the generalized form, the cohort-specific shape is:</w:t>
      </w:r>
    </w:p>
    <w:p w14:paraId="111861D6" w14:textId="77777777" w:rsidR="0036737B" w:rsidRDefault="00000000">
      <w:pPr>
        <w:pStyle w:val="BodyText"/>
      </w:pPr>
      <m:oMathPara>
        <m:oMathParaPr>
          <m:jc m:val="center"/>
        </m:oMathParaPr>
        <m:oMath>
          <m:r>
            <w:rPr>
              <w:rFonts w:ascii="Cambria Math" w:hAnsi="Cambria Math"/>
            </w:rPr>
            <w:lastRenderedPageBreak/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m:rPr>
                  <m:sty m:val="p"/>
                </m:rPr>
                <w:rPr>
                  <w:rFonts w:ascii="Cambria Math" w:hAnsi="Cambria Math"/>
                </w:rPr>
                <m:t>∞</m:t>
              </m:r>
            </m:sub>
          </m:sSub>
          <m:r>
            <w:rPr>
              <w:rFonts w:ascii="Cambria Math" w:hAnsi="Cambria Math"/>
            </w:rPr>
            <m:t>s</m:t>
          </m:r>
          <m:r>
            <m:rPr>
              <m:sty m:val="p"/>
            </m:rPr>
            <w:rPr>
              <w:rFonts w:ascii="Cambria Math" w:hAnsi="Cambria Math"/>
            </w:rPr>
            <m:t>+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sub>
              </m:sSub>
            </m:e>
          </m:d>
          <m:r>
            <w:rPr>
              <w:rFonts w:ascii="Cambria Math" w:hAnsi="Cambria Math"/>
            </w:rPr>
            <m:t> τ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r>
                    <w:rPr>
                      <w:rFonts w:ascii="Cambria Math" w:hAnsi="Cambria Math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/</m:t>
                  </m:r>
                  <m:r>
                    <w:rPr>
                      <w:rFonts w:ascii="Cambria Math" w:hAnsi="Cambria Math"/>
                    </w:rPr>
                    <m:t>τ</m:t>
                  </m:r>
                </m:sup>
              </m:sSup>
            </m:e>
          </m:d>
        </m:oMath>
      </m:oMathPara>
    </w:p>
    <w:p w14:paraId="6F6E14CC" w14:textId="77777777" w:rsidR="0036737B" w:rsidRDefault="00000000">
      <w:pPr>
        <w:pStyle w:val="FirstParagraph"/>
      </w:pPr>
      <w:r>
        <w:t>Shape normalization subtracts this entire function:</w:t>
      </w:r>
    </w:p>
    <w:p w14:paraId="6D20CFF1" w14:textId="77777777" w:rsidR="0036737B" w:rsidRDefault="00000000">
      <w:pPr>
        <w:pStyle w:val="BodyText"/>
      </w:pPr>
      <m:oMathPara>
        <m:oMathParaPr>
          <m:jc m:val="center"/>
        </m:oMathParaPr>
        <m:oMath>
          <m:r>
            <m:rPr>
              <m:sty m:val="p"/>
            </m:rPr>
            <w:rPr>
              <w:rFonts w:ascii="Cambria Math" w:hAnsi="Cambria Math"/>
            </w:rPr>
            <m:t>log</m:t>
          </m:r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m:t>adj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=log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-</m:t>
          </m:r>
          <m:r>
            <w:rPr>
              <w:rFonts w:ascii="Cambria Math" w:hAnsi="Cambria Math"/>
            </w:rPr>
            <m:t>g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</m:oMath>
      </m:oMathPara>
    </w:p>
    <w:p w14:paraId="1ED637E1" w14:textId="77777777" w:rsidR="0036737B" w:rsidRDefault="00000000">
      <w:pPr>
        <w:pStyle w:val="FirstParagraph"/>
      </w:pPr>
      <w:r>
        <w:t>or equivalently,</w:t>
      </w:r>
    </w:p>
    <w:p w14:paraId="1B2A78CC" w14:textId="77777777" w:rsidR="0036737B" w:rsidRDefault="00000000">
      <w:pPr>
        <w:pStyle w:val="BodyText"/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h</m:t>
              </m:r>
            </m:e>
            <m:sub>
              <m:r>
                <m:rPr>
                  <m:nor/>
                </m:rPr>
                <m:t>adj</m:t>
              </m:r>
            </m:sub>
          </m:sSub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h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s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exp</m:t>
          </m:r>
          <m:r>
            <w:rPr>
              <w:rFonts w:ascii="Cambria Math" w:hAnsi="Cambria Math"/>
            </w:rPr>
            <m:t>​</m:t>
          </m:r>
          <m:d>
            <m:dPr>
              <m:begChr m:val="["/>
              <m:endChr m:val="]"/>
              <m:ctrlPr>
                <w:rPr>
                  <w:rFonts w:ascii="Cambria Math" w:hAnsi="Cambria Math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sSub>
                <m:sSubPr>
                  <m:ctrlPr>
                    <w:rPr>
                      <w:rFonts w:ascii="Cambria Math" w:hAnsi="Cambria Math"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k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∞</m:t>
                  </m:r>
                </m:sub>
              </m:sSub>
              <m:r>
                <w:rPr>
                  <w:rFonts w:ascii="Cambria Math" w:hAnsi="Cambria Math"/>
                </w:rPr>
                <m:t>s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-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0</m:t>
                      </m:r>
                    </m:sub>
                  </m:sSub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k</m:t>
                      </m:r>
                    </m:e>
                    <m:sub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∞</m:t>
                      </m:r>
                    </m:sub>
                  </m:sSub>
                </m:e>
              </m:d>
              <m:r>
                <w:rPr>
                  <w:rFonts w:ascii="Cambria Math" w:hAnsi="Cambria Math"/>
                </w:rPr>
                <m:t> τ</m:t>
              </m:r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-</m:t>
                  </m:r>
                  <m:sSup>
                    <m:sSupPr>
                      <m:ctrlPr>
                        <w:rPr>
                          <w:rFonts w:ascii="Cambria Math" w:hAnsi="Cambria Math"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-</m:t>
                      </m:r>
                      <m:r>
                        <w:rPr>
                          <w:rFonts w:ascii="Cambria Math" w:hAnsi="Cambria Math"/>
                        </w:rPr>
                        <m:t>s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/</m:t>
                      </m:r>
                      <m:r>
                        <w:rPr>
                          <w:rFonts w:ascii="Cambria Math" w:hAnsi="Cambria Math"/>
                        </w:rPr>
                        <m:t>τ</m:t>
                      </m:r>
                    </m:sup>
                  </m:sSup>
                </m:e>
              </m:d>
            </m:e>
          </m:d>
        </m:oMath>
      </m:oMathPara>
    </w:p>
    <w:p w14:paraId="4768FD94" w14:textId="77777777" w:rsidR="0036737B" w:rsidRDefault="00000000">
      <w:pPr>
        <w:pStyle w:val="FirstParagraph"/>
      </w:pPr>
      <w:r>
        <w:t xml:space="preserve">The scale parameter </w:t>
      </w:r>
      <m:oMath>
        <m:r>
          <w:rPr>
            <w:rFonts w:ascii="Cambria Math" w:hAnsi="Cambria Math"/>
          </w:rPr>
          <m:t>C</m:t>
        </m:r>
      </m:oMath>
      <w:r>
        <w:t xml:space="preserve"> is absorbed by later baseline normalization.</w:t>
      </w:r>
    </w:p>
    <w:p w14:paraId="21D4FDF2" w14:textId="77777777" w:rsidR="0036737B" w:rsidRDefault="00000000">
      <w:r>
        <w:pict w14:anchorId="2AC3DC4D">
          <v:rect id="_x0000_i1034" style="width:0;height:1.5pt" o:hralign="center" o:hrstd="t" o:hr="t"/>
        </w:pict>
      </w:r>
    </w:p>
    <w:p w14:paraId="031EE4F7" w14:textId="77777777" w:rsidR="0036737B" w:rsidRDefault="00000000">
      <w:pPr>
        <w:pStyle w:val="Heading2"/>
      </w:pPr>
      <w:bookmarkStart w:id="13" w:name="kcor-definition"/>
      <w:bookmarkEnd w:id="10"/>
      <w:bookmarkEnd w:id="12"/>
      <w:r>
        <w:t>10. KCOR Definition</w:t>
      </w:r>
    </w:p>
    <w:p w14:paraId="5342861C" w14:textId="77777777" w:rsidR="0036737B" w:rsidRDefault="00000000">
      <w:pPr>
        <w:pStyle w:val="FirstParagraph"/>
      </w:pPr>
      <w:r>
        <w:t xml:space="preserve">For cohorts </w:t>
      </w:r>
      <m:oMath>
        <m:r>
          <w:rPr>
            <w:rFonts w:ascii="Cambria Math" w:hAnsi="Cambria Math"/>
          </w:rPr>
          <m:t>A</m:t>
        </m:r>
      </m:oMath>
      <w:r>
        <w:t xml:space="preserve"> and </w:t>
      </w:r>
      <m:oMath>
        <m:r>
          <w:rPr>
            <w:rFonts w:ascii="Cambria Math" w:hAnsi="Cambria Math"/>
          </w:rPr>
          <m:t>B</m:t>
        </m:r>
      </m:oMath>
      <w:r>
        <w:t>:</w:t>
      </w:r>
    </w:p>
    <w:p w14:paraId="3A1FCAB9" w14:textId="77777777" w:rsidR="0036737B" w:rsidRDefault="00000000">
      <w:pPr>
        <w:pStyle w:val="BodyText"/>
      </w:pPr>
      <m:oMathPara>
        <m:oMathParaPr>
          <m:jc m:val="center"/>
        </m:oMathParaPr>
        <m:oMath>
          <m:r>
            <m:rPr>
              <m:nor/>
            </m:rPr>
            <m:t>KCOR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t</m:t>
              </m:r>
            </m:e>
          </m:d>
          <m:r>
            <m:rPr>
              <m:sty m:val="p"/>
            </m:rP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nor/>
                        </m:rPr>
                        <m:t>adj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A</m:t>
                      </m:r>
                    </m:sub>
                  </m:sSub>
                </m:e>
              </m:nary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num>
            <m:den>
              <m:nary>
                <m:naryPr>
                  <m:chr m:val="∑"/>
                  <m:limLoc m:val="undOvr"/>
                  <m:supHide m:val="1"/>
                  <m:ctrlPr>
                    <w:rPr>
                      <w:rFonts w:ascii="Cambria Math" w:hAnsi="Cambria Math"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s</m:t>
                  </m:r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≤</m:t>
                  </m:r>
                  <m:r>
                    <w:rPr>
                      <w:rFonts w:ascii="Cambria Math" w:hAnsi="Cambria Math"/>
                    </w:rPr>
                    <m:t>t</m:t>
                  </m:r>
                </m:sub>
                <m:sup>
                  <m:r>
                    <w:rPr>
                      <w:rFonts w:ascii="Cambria Math" w:hAnsi="Cambria Math"/>
                    </w:rPr>
                    <m:t>​</m:t>
                  </m:r>
                </m:sup>
                <m:e>
                  <m:sSub>
                    <m:sSubPr>
                      <m:ctrlPr>
                        <w:rPr>
                          <w:rFonts w:ascii="Cambria Math" w:hAnsi="Cambria Math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</w:rPr>
                        <m:t>h</m:t>
                      </m:r>
                    </m:e>
                    <m:sub>
                      <m:r>
                        <m:rPr>
                          <m:nor/>
                        </m:rPr>
                        <m:t>adj</m:t>
                      </m:r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,</m:t>
                      </m:r>
                      <m:r>
                        <w:rPr>
                          <w:rFonts w:ascii="Cambria Math" w:hAnsi="Cambria Math"/>
                        </w:rPr>
                        <m:t>B</m:t>
                      </m:r>
                    </m:sub>
                  </m:sSub>
                </m:e>
              </m:nary>
              <m:d>
                <m:dPr>
                  <m:ctrlPr>
                    <w:rPr>
                      <w:rFonts w:ascii="Cambria Math" w:hAnsi="Cambria Math"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s</m:t>
                  </m:r>
                </m:e>
              </m:d>
            </m:den>
          </m:f>
        </m:oMath>
      </m:oMathPara>
    </w:p>
    <w:p w14:paraId="70B0F0EC" w14:textId="77777777" w:rsidR="0036737B" w:rsidRDefault="00000000">
      <w:pPr>
        <w:pStyle w:val="FirstParagraph"/>
      </w:pPr>
      <w:r>
        <w:rPr>
          <w:b/>
          <w:bCs/>
        </w:rPr>
        <w:t>Interpretation:</w:t>
      </w:r>
    </w:p>
    <w:p w14:paraId="4F178625" w14:textId="1AA78D4C" w:rsidR="0036737B" w:rsidRDefault="00000000">
      <w:pPr>
        <w:pStyle w:val="Compact"/>
        <w:numPr>
          <w:ilvl w:val="0"/>
          <w:numId w:val="7"/>
        </w:numPr>
      </w:pPr>
      <w:r>
        <w:t>KCOR ≈ 1 : mortality equivalence</w:t>
      </w:r>
    </w:p>
    <w:p w14:paraId="54820F62" w14:textId="0247E1A1" w:rsidR="0036737B" w:rsidRDefault="00000000">
      <w:pPr>
        <w:pStyle w:val="Compact"/>
        <w:numPr>
          <w:ilvl w:val="0"/>
          <w:numId w:val="7"/>
        </w:numPr>
      </w:pPr>
      <w:r>
        <w:t>KCOR &gt; 1 : excess mortality in numerator cohort</w:t>
      </w:r>
    </w:p>
    <w:p w14:paraId="1C95098E" w14:textId="77777777" w:rsidR="0036737B" w:rsidRDefault="00000000">
      <w:pPr>
        <w:pStyle w:val="Compact"/>
        <w:numPr>
          <w:ilvl w:val="0"/>
          <w:numId w:val="7"/>
        </w:numPr>
      </w:pPr>
      <w:r>
        <w:t>KCOR &lt; 1 : mortality benefit in numerator cohort</w:t>
      </w:r>
    </w:p>
    <w:p w14:paraId="1C9C5618" w14:textId="77777777" w:rsidR="0036737B" w:rsidRDefault="00000000">
      <w:r>
        <w:pict w14:anchorId="36E73E48">
          <v:rect id="_x0000_i1035" style="width:0;height:1.5pt" o:hralign="center" o:hrstd="t" o:hr="t"/>
        </w:pict>
      </w:r>
    </w:p>
    <w:p w14:paraId="349F9177" w14:textId="77777777" w:rsidR="0036737B" w:rsidRDefault="00000000">
      <w:pPr>
        <w:pStyle w:val="Heading2"/>
      </w:pPr>
      <w:bookmarkStart w:id="14" w:name="stabilization-rules"/>
      <w:bookmarkEnd w:id="13"/>
      <w:r>
        <w:t>11. Stabilization Rules</w:t>
      </w:r>
    </w:p>
    <w:p w14:paraId="689C454A" w14:textId="77777777" w:rsidR="0036737B" w:rsidRDefault="00000000">
      <w:pPr>
        <w:pStyle w:val="Compact"/>
        <w:numPr>
          <w:ilvl w:val="0"/>
          <w:numId w:val="8"/>
        </w:numPr>
      </w:pPr>
      <w:r>
        <w:t xml:space="preserve">KCOR is normalized to 1 using weeks </w:t>
      </w:r>
      <w:r>
        <w:rPr>
          <w:b/>
          <w:bCs/>
        </w:rPr>
        <w:t>3–6</w:t>
      </w:r>
      <w:r>
        <w:t xml:space="preserve"> post-enrollment</w:t>
      </w:r>
    </w:p>
    <w:p w14:paraId="4E1B1787" w14:textId="77777777" w:rsidR="0036737B" w:rsidRDefault="00000000">
      <w:pPr>
        <w:pStyle w:val="Compact"/>
        <w:numPr>
          <w:ilvl w:val="0"/>
          <w:numId w:val="8"/>
        </w:numPr>
      </w:pPr>
      <w:r>
        <w:t xml:space="preserve">Weeks </w:t>
      </w:r>
      <w:r>
        <w:rPr>
          <w:b/>
          <w:bCs/>
        </w:rPr>
        <w:t>1–2</w:t>
      </w:r>
      <w:r>
        <w:t xml:space="preserve"> are excluded to reduce dynamic HVE and acute deferral effects</w:t>
      </w:r>
    </w:p>
    <w:p w14:paraId="00626240" w14:textId="77777777" w:rsidR="0036737B" w:rsidRDefault="00000000">
      <w:pPr>
        <w:pStyle w:val="FirstParagraph"/>
      </w:pPr>
      <w:r>
        <w:t>The 3–6 week window empirically provides stable anchoring while avoiding immediate post-enrollment artifacts.</w:t>
      </w:r>
    </w:p>
    <w:p w14:paraId="595FDA4F" w14:textId="77777777" w:rsidR="0036737B" w:rsidRDefault="00000000">
      <w:r>
        <w:pict w14:anchorId="604D0E7F">
          <v:rect id="_x0000_i1036" style="width:0;height:1.5pt" o:hralign="center" o:hrstd="t" o:hr="t"/>
        </w:pict>
      </w:r>
    </w:p>
    <w:p w14:paraId="4D46F738" w14:textId="77777777" w:rsidR="0036737B" w:rsidRDefault="00000000">
      <w:pPr>
        <w:pStyle w:val="Heading2"/>
      </w:pPr>
      <w:bookmarkStart w:id="15" w:name="validation"/>
      <w:bookmarkEnd w:id="14"/>
      <w:r>
        <w:t>12. Validation</w:t>
      </w:r>
    </w:p>
    <w:p w14:paraId="3687047F" w14:textId="77777777" w:rsidR="0036737B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Negative controls</w:t>
      </w:r>
      <w:r>
        <w:t>: KCOR remains flat under null, including extreme pathological selection scenarios</w:t>
      </w:r>
    </w:p>
    <w:p w14:paraId="74C45E37" w14:textId="77777777" w:rsidR="0036737B" w:rsidRDefault="00000000">
      <w:pPr>
        <w:pStyle w:val="Compact"/>
        <w:numPr>
          <w:ilvl w:val="0"/>
          <w:numId w:val="9"/>
        </w:numPr>
      </w:pPr>
      <w:r>
        <w:rPr>
          <w:b/>
          <w:bCs/>
        </w:rPr>
        <w:t>Positive controls</w:t>
      </w:r>
      <w:r>
        <w:t>: transient wave-associated mortality bursts produce detectable departures from unity</w:t>
      </w:r>
    </w:p>
    <w:p w14:paraId="2C5F5B45" w14:textId="77777777" w:rsidR="0036737B" w:rsidRDefault="00000000">
      <w:r>
        <w:pict w14:anchorId="0731FCC6">
          <v:rect id="_x0000_i1037" style="width:0;height:1.5pt" o:hralign="center" o:hrstd="t" o:hr="t"/>
        </w:pict>
      </w:r>
    </w:p>
    <w:p w14:paraId="613D2022" w14:textId="77777777" w:rsidR="0036737B" w:rsidRDefault="00000000">
      <w:pPr>
        <w:pStyle w:val="Heading2"/>
      </w:pPr>
      <w:bookmarkStart w:id="16" w:name="interpretation"/>
      <w:bookmarkEnd w:id="15"/>
      <w:r>
        <w:t>13. Interpretation</w:t>
      </w:r>
    </w:p>
    <w:p w14:paraId="0106AFCB" w14:textId="77777777" w:rsidR="0036737B" w:rsidRDefault="00000000">
      <w:pPr>
        <w:pStyle w:val="FirstParagraph"/>
      </w:pPr>
      <w:r>
        <w:t xml:space="preserve">KCOR estimates the </w:t>
      </w:r>
      <w:r>
        <w:rPr>
          <w:b/>
          <w:bCs/>
        </w:rPr>
        <w:t>net cumulative mortality impact</w:t>
      </w:r>
      <w:r>
        <w:t xml:space="preserve"> after removing cohort mortality structure in log-hazard space.</w:t>
      </w:r>
    </w:p>
    <w:p w14:paraId="7892A063" w14:textId="77777777" w:rsidR="0036737B" w:rsidRDefault="00000000">
      <w:r>
        <w:lastRenderedPageBreak/>
        <w:pict w14:anchorId="23BAFB38">
          <v:rect id="_x0000_i1038" style="width:0;height:1.5pt" o:hralign="center" o:hrstd="t" o:hr="t"/>
        </w:pict>
      </w:r>
    </w:p>
    <w:p w14:paraId="2C1FE529" w14:textId="77777777" w:rsidR="0036737B" w:rsidRDefault="00000000">
      <w:pPr>
        <w:pStyle w:val="Heading2"/>
      </w:pPr>
      <w:bookmarkStart w:id="17" w:name="confidence-intervals"/>
      <w:bookmarkEnd w:id="16"/>
      <w:r>
        <w:t>14. Confidence Intervals</w:t>
      </w:r>
    </w:p>
    <w:p w14:paraId="5EA72A30" w14:textId="77777777" w:rsidR="0036737B" w:rsidRDefault="00000000">
      <w:pPr>
        <w:pStyle w:val="FirstParagraph"/>
      </w:pPr>
      <w:r>
        <w:t xml:space="preserve">Confidence intervals are computed via </w:t>
      </w:r>
      <w:r>
        <w:rPr>
          <w:b/>
          <w:bCs/>
        </w:rPr>
        <w:t>Monte Carlo resampling with replacement</w:t>
      </w:r>
      <w:r>
        <w:t>, incorporating uncertainty from: - stochastic death counts within cohorts - slope / shape estimation error</w:t>
      </w:r>
    </w:p>
    <w:p w14:paraId="4E0A5A8A" w14:textId="77777777" w:rsidR="0036737B" w:rsidRDefault="00000000">
      <w:r>
        <w:pict w14:anchorId="57444B2A">
          <v:rect id="_x0000_i1039" style="width:0;height:1.5pt" o:hralign="center" o:hrstd="t" o:hr="t"/>
        </w:pict>
      </w:r>
    </w:p>
    <w:p w14:paraId="7E403792" w14:textId="77777777" w:rsidR="0036737B" w:rsidRDefault="00000000">
      <w:pPr>
        <w:pStyle w:val="Heading2"/>
      </w:pPr>
      <w:bookmarkStart w:id="18" w:name="summary"/>
      <w:bookmarkEnd w:id="17"/>
      <w:r>
        <w:t>15. Summary</w:t>
      </w:r>
    </w:p>
    <w:p w14:paraId="00A0DB46" w14:textId="77777777" w:rsidR="0036737B" w:rsidRDefault="00000000">
      <w:pPr>
        <w:pStyle w:val="FirstParagraph"/>
      </w:pPr>
      <w:r>
        <w:t>KCOR enables valid mortality comparisons in retrospective data when traditional approaches are confounded by selection-induced hazard curvature, by explicitly modeling and removing cohort-specific mortality structure before comparing cumulative hazards.</w:t>
      </w:r>
    </w:p>
    <w:p w14:paraId="3608AA07" w14:textId="77777777" w:rsidR="0036737B" w:rsidRDefault="00000000">
      <w:r>
        <w:pict w14:anchorId="72047075">
          <v:rect id="_x0000_i1040" style="width:0;height:1.5pt" o:hralign="center" o:hrstd="t" o:hr="t"/>
        </w:pict>
      </w:r>
    </w:p>
    <w:p w14:paraId="056F9EB9" w14:textId="77777777" w:rsidR="0036737B" w:rsidRDefault="00000000">
      <w:pPr>
        <w:pStyle w:val="Heading2"/>
      </w:pPr>
      <w:bookmarkStart w:id="19" w:name="schematic-illustration-conceptual"/>
      <w:bookmarkEnd w:id="18"/>
      <w:r>
        <w:t>16. Schematic Illustration (Conceptual)</w:t>
      </w:r>
    </w:p>
    <w:p w14:paraId="2628C56C" w14:textId="77777777" w:rsidR="0036737B" w:rsidRDefault="00000000">
      <w:pPr>
        <w:pStyle w:val="FirstParagraph"/>
      </w:pPr>
      <w:r>
        <w:t xml:space="preserve">A useful way to visualize KCOR is in </w:t>
      </w:r>
      <w:r>
        <w:rPr>
          <w:b/>
          <w:bCs/>
        </w:rPr>
        <w:t>log-hazard space</w:t>
      </w:r>
      <w:r>
        <w:t>:</w:t>
      </w:r>
    </w:p>
    <w:p w14:paraId="052A8C24" w14:textId="77777777" w:rsidR="0036737B" w:rsidRDefault="00000000">
      <w:pPr>
        <w:pStyle w:val="Compact"/>
        <w:numPr>
          <w:ilvl w:val="0"/>
          <w:numId w:val="10"/>
        </w:numPr>
      </w:pPr>
      <w:r>
        <w:t>Before normalization, cohorts exhibit different slopes and curvature due to selection and frailty depletion.</w:t>
      </w:r>
    </w:p>
    <w:p w14:paraId="4C4EF4A1" w14:textId="77777777" w:rsidR="0036737B" w:rsidRDefault="00000000">
      <w:pPr>
        <w:pStyle w:val="Compact"/>
        <w:numPr>
          <w:ilvl w:val="0"/>
          <w:numId w:val="10"/>
        </w:numPr>
      </w:pPr>
      <w:r>
        <w:t>Shape normalization removes these cohort-specific trends, flattening both curves under the null.</w:t>
      </w:r>
    </w:p>
    <w:p w14:paraId="0C0B9D22" w14:textId="77777777" w:rsidR="0036737B" w:rsidRDefault="00000000">
      <w:pPr>
        <w:pStyle w:val="Compact"/>
        <w:numPr>
          <w:ilvl w:val="0"/>
          <w:numId w:val="10"/>
        </w:numPr>
      </w:pPr>
      <w:r>
        <w:t>Any remaining divergence after normalization represents excess mortality attributable to the intervention.</w:t>
      </w:r>
    </w:p>
    <w:p w14:paraId="3497D042" w14:textId="77777777" w:rsidR="0036737B" w:rsidRDefault="00000000">
      <w:pPr>
        <w:pStyle w:val="FirstParagraph"/>
      </w:pPr>
      <w:r>
        <w:t>Such a schematic typically shows: 1. Two diverging log-hazard curves (pre-normalization) 2. Both curves flattened and aligned (post-normalization) 3. Residual separation only when a true effect exists</w:t>
      </w:r>
    </w:p>
    <w:p w14:paraId="205A3B84" w14:textId="2E35069F" w:rsidR="00BE1E0B" w:rsidRPr="00BE1E0B" w:rsidRDefault="00BE1E0B" w:rsidP="00BE1E0B">
      <w:pPr>
        <w:pStyle w:val="BodyText"/>
      </w:pPr>
      <w:r>
        <w:rPr>
          <w:noProof/>
        </w:rPr>
        <w:lastRenderedPageBreak/>
        <w:drawing>
          <wp:inline distT="0" distB="0" distL="0" distR="0" wp14:anchorId="70FA353F" wp14:editId="03BABEC4">
            <wp:extent cx="5181600" cy="4152900"/>
            <wp:effectExtent l="0" t="0" r="0" b="0"/>
            <wp:docPr id="20432255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0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1D4294" w14:textId="77777777" w:rsidR="0036737B" w:rsidRDefault="00000000">
      <w:r>
        <w:pict w14:anchorId="2F5B2F6B">
          <v:rect id="_x0000_i1041" style="width:0;height:1.5pt" o:hralign="center" o:hrstd="t" o:hr="t"/>
        </w:pict>
      </w:r>
    </w:p>
    <w:p w14:paraId="608FEFFF" w14:textId="77777777" w:rsidR="0036737B" w:rsidRDefault="00000000">
      <w:pPr>
        <w:pStyle w:val="Heading2"/>
      </w:pPr>
      <w:bookmarkStart w:id="20" w:name="why-cox-iptw-fail-here-explicit-contrast"/>
      <w:bookmarkEnd w:id="19"/>
      <w:r>
        <w:t>17. Why Cox / IPTW Fail Here (Explicit Contrast)</w:t>
      </w:r>
    </w:p>
    <w:p w14:paraId="0CF6E760" w14:textId="77777777" w:rsidR="0036737B" w:rsidRDefault="00000000">
      <w:pPr>
        <w:pStyle w:val="FirstParagraph"/>
      </w:pPr>
      <w:r>
        <w:t xml:space="preserve">Cox proportional hazards and IPTW-based methods assume that, after adjustment, hazards differ only by a </w:t>
      </w:r>
      <w:r>
        <w:rPr>
          <w:i/>
          <w:iCs/>
        </w:rPr>
        <w:t>time-invariant multiplicative factor</w:t>
      </w:r>
      <w:r>
        <w:t>.</w:t>
      </w:r>
    </w:p>
    <w:p w14:paraId="77170A44" w14:textId="77777777" w:rsidR="0036737B" w:rsidRDefault="00000000">
      <w:pPr>
        <w:pStyle w:val="BodyText"/>
      </w:pPr>
      <w:r>
        <w:t>In the presence of selection-induced curvature:</w:t>
      </w:r>
    </w:p>
    <w:p w14:paraId="49F1BBFA" w14:textId="77777777" w:rsidR="0036737B" w:rsidRDefault="00000000">
      <w:pPr>
        <w:pStyle w:val="Compact"/>
        <w:numPr>
          <w:ilvl w:val="0"/>
          <w:numId w:val="11"/>
        </w:numPr>
      </w:pPr>
      <w:r>
        <w:t xml:space="preserve">Hazards are </w:t>
      </w:r>
      <w:r>
        <w:rPr>
          <w:b/>
          <w:bCs/>
        </w:rPr>
        <w:t>non-proportional by construction</w:t>
      </w:r>
    </w:p>
    <w:p w14:paraId="59C5479A" w14:textId="77777777" w:rsidR="0036737B" w:rsidRDefault="00000000">
      <w:pPr>
        <w:pStyle w:val="Compact"/>
        <w:numPr>
          <w:ilvl w:val="0"/>
          <w:numId w:val="11"/>
        </w:numPr>
      </w:pPr>
      <w:r>
        <w:t>Matching on covariates cannot equalize frailty depletion dynamics</w:t>
      </w:r>
    </w:p>
    <w:p w14:paraId="0058BA5D" w14:textId="77777777" w:rsidR="0036737B" w:rsidRDefault="00000000">
      <w:pPr>
        <w:pStyle w:val="Compact"/>
        <w:numPr>
          <w:ilvl w:val="0"/>
          <w:numId w:val="11"/>
        </w:numPr>
      </w:pPr>
      <w:r>
        <w:t xml:space="preserve">IPTW reweights levels but does not remove </w:t>
      </w:r>
      <w:r>
        <w:rPr>
          <w:b/>
          <w:bCs/>
        </w:rPr>
        <w:t>time-varying slope differences</w:t>
      </w:r>
    </w:p>
    <w:p w14:paraId="66F225F9" w14:textId="77777777" w:rsidR="0036737B" w:rsidRDefault="00000000">
      <w:pPr>
        <w:pStyle w:val="FirstParagraph"/>
      </w:pPr>
      <w:r>
        <w:t xml:space="preserve">As a result, Cox/IPTW interpret curvature differences as treatment effects, producing biased estimates. KCOR avoids this by removing curvature </w:t>
      </w:r>
      <w:r>
        <w:rPr>
          <w:i/>
          <w:iCs/>
        </w:rPr>
        <w:t>prior</w:t>
      </w:r>
      <w:r>
        <w:t xml:space="preserve"> to comparison.</w:t>
      </w:r>
    </w:p>
    <w:p w14:paraId="72A7B765" w14:textId="77777777" w:rsidR="0036737B" w:rsidRDefault="00000000">
      <w:r>
        <w:pict w14:anchorId="5836D989">
          <v:rect id="_x0000_i1042" style="width:0;height:1.5pt" o:hralign="center" o:hrstd="t" o:hr="t"/>
        </w:pict>
      </w:r>
    </w:p>
    <w:p w14:paraId="2733822C" w14:textId="77777777" w:rsidR="0036737B" w:rsidRDefault="00000000">
      <w:pPr>
        <w:pStyle w:val="Heading2"/>
      </w:pPr>
      <w:bookmarkStart w:id="21" w:name="when-kcor-should-not-be-used"/>
      <w:bookmarkEnd w:id="20"/>
      <w:r>
        <w:t>18. When KCOR Should NOT Be Used</w:t>
      </w:r>
    </w:p>
    <w:p w14:paraId="7E159BC9" w14:textId="77777777" w:rsidR="0036737B" w:rsidRDefault="00000000">
      <w:pPr>
        <w:pStyle w:val="FirstParagraph"/>
      </w:pPr>
      <w:r>
        <w:t>KCOR is not appropriate when:</w:t>
      </w:r>
    </w:p>
    <w:p w14:paraId="1E066B01" w14:textId="77777777" w:rsidR="0036737B" w:rsidRDefault="00000000">
      <w:pPr>
        <w:pStyle w:val="Compact"/>
        <w:numPr>
          <w:ilvl w:val="0"/>
          <w:numId w:val="12"/>
        </w:numPr>
      </w:pPr>
      <w:r>
        <w:t>Cohorts are already randomized or exchangeable (e.g., large RCTs)</w:t>
      </w:r>
    </w:p>
    <w:p w14:paraId="7743B7F0" w14:textId="77777777" w:rsidR="0036737B" w:rsidRDefault="00000000">
      <w:pPr>
        <w:pStyle w:val="Compact"/>
        <w:numPr>
          <w:ilvl w:val="0"/>
          <w:numId w:val="12"/>
        </w:numPr>
      </w:pPr>
      <w:r>
        <w:t>Event counts are too sparse to estimate hazard slopes reliably</w:t>
      </w:r>
    </w:p>
    <w:p w14:paraId="7BF46353" w14:textId="77777777" w:rsidR="0036737B" w:rsidRDefault="00000000">
      <w:pPr>
        <w:pStyle w:val="Compact"/>
        <w:numPr>
          <w:ilvl w:val="0"/>
          <w:numId w:val="12"/>
        </w:numPr>
      </w:pPr>
      <w:r>
        <w:lastRenderedPageBreak/>
        <w:t>Follow-up is too short to observe mortality curvature</w:t>
      </w:r>
    </w:p>
    <w:p w14:paraId="69937224" w14:textId="77777777" w:rsidR="0036737B" w:rsidRDefault="00000000">
      <w:pPr>
        <w:pStyle w:val="Compact"/>
        <w:numPr>
          <w:ilvl w:val="0"/>
          <w:numId w:val="12"/>
        </w:numPr>
      </w:pPr>
      <w:r>
        <w:t>Outcomes are not well modeled by hazard-based processes</w:t>
      </w:r>
    </w:p>
    <w:p w14:paraId="588ECD2E" w14:textId="77777777" w:rsidR="0036737B" w:rsidRDefault="00000000">
      <w:pPr>
        <w:pStyle w:val="FirstParagraph"/>
      </w:pPr>
      <w:r>
        <w:t>In such cases, simpler estimators may be preferable.</w:t>
      </w:r>
    </w:p>
    <w:p w14:paraId="79625272" w14:textId="77777777" w:rsidR="0036737B" w:rsidRDefault="00000000">
      <w:r>
        <w:pict w14:anchorId="4B44496A">
          <v:rect id="_x0000_i1043" style="width:0;height:1.5pt" o:hralign="center" o:hrstd="t" o:hr="t"/>
        </w:pict>
      </w:r>
    </w:p>
    <w:p w14:paraId="4C01DF77" w14:textId="014BC4A8" w:rsidR="0036737B" w:rsidRDefault="00000000">
      <w:pPr>
        <w:pStyle w:val="Heading2"/>
      </w:pPr>
      <w:bookmarkStart w:id="22" w:name="appendix-a-derivation-sketch-short"/>
      <w:bookmarkEnd w:id="21"/>
      <w:r>
        <w:t>Appendix A: Derivation Sketch</w:t>
      </w:r>
    </w:p>
    <w:p w14:paraId="7EE6C266" w14:textId="77777777" w:rsidR="0036737B" w:rsidRDefault="00000000">
      <w:pPr>
        <w:pStyle w:val="FirstParagraph"/>
      </w:pPr>
      <w:r>
        <w:t xml:space="preserve">Frailty depletion and selection alter the effective cohort frailty distribution over event time, inducing curvature in </w:t>
      </w:r>
      <m:oMath>
        <m:r>
          <m:rPr>
            <m:sty m:val="p"/>
          </m:rPr>
          <w:rPr>
            <w:rFonts w:ascii="Cambria Math" w:hAnsi="Cambria Math"/>
          </w:rPr>
          <m:t>log</m:t>
        </m:r>
        <m:r>
          <w:rPr>
            <w:rFonts w:ascii="Cambria Math" w:hAnsi="Cambria Math"/>
          </w:rPr>
          <m:t>h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s</m:t>
            </m:r>
          </m:e>
        </m:d>
      </m:oMath>
      <w:r>
        <w:t xml:space="preserve">. Allowing the cohort log-slope to relax exponentially from an initial value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w:rPr>
                <w:rFonts w:ascii="Cambria Math" w:hAnsi="Cambria Math"/>
              </w:rPr>
              <m:t>0</m:t>
            </m:r>
          </m:sub>
        </m:sSub>
      </m:oMath>
      <w:r>
        <w:t xml:space="preserve"> to an asymptotic value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w:rPr>
                <w:rFonts w:ascii="Cambria Math" w:hAnsi="Cambria Math"/>
              </w:rPr>
              <m:t>k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∞</m:t>
            </m:r>
          </m:sub>
        </m:sSub>
      </m:oMath>
      <w:r>
        <w:t xml:space="preserve"> yields the generalized model above without requiring gamma frailty assumptions.</w:t>
      </w:r>
    </w:p>
    <w:p w14:paraId="7CC9B48C" w14:textId="77777777" w:rsidR="00BE1E0B" w:rsidRPr="00BE1E0B" w:rsidRDefault="00BE1E0B" w:rsidP="00BE1E0B">
      <w:pPr>
        <w:pStyle w:val="BodyText"/>
      </w:pPr>
      <w:r w:rsidRPr="00BE1E0B">
        <w:t>For example, if you construct a pathological cohort of 5 different frailty levels as noted in the figure, the 4-parameter form fits this nearly exactly:</w:t>
      </w:r>
    </w:p>
    <w:p w14:paraId="61205ADD" w14:textId="7B24CE2F" w:rsidR="00BE1E0B" w:rsidRPr="00BE1E0B" w:rsidRDefault="00BE1E0B" w:rsidP="00BE1E0B">
      <w:pPr>
        <w:pStyle w:val="BodyText"/>
      </w:pPr>
      <w:r w:rsidRPr="00BE1E0B">
        <w:br/>
      </w:r>
      <w:r w:rsidRPr="00BE1E0B">
        <w:drawing>
          <wp:inline distT="0" distB="0" distL="0" distR="0" wp14:anchorId="73075EB8" wp14:editId="47C8BDC3">
            <wp:extent cx="5229225" cy="3381375"/>
            <wp:effectExtent l="0" t="0" r="0" b="0"/>
            <wp:docPr id="151920013" name="Picture 3" descr="A graph with a line drawn on i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graph with a line drawn on i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9225" cy="3381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717339E" w14:textId="77777777" w:rsidR="00BE1E0B" w:rsidRPr="00BE1E0B" w:rsidRDefault="00BE1E0B" w:rsidP="00BE1E0B">
      <w:pPr>
        <w:pStyle w:val="BodyText"/>
      </w:pPr>
    </w:p>
    <w:p w14:paraId="75BCD204" w14:textId="77777777" w:rsidR="0036737B" w:rsidRDefault="00000000">
      <w:r>
        <w:pict w14:anchorId="15C14FE3">
          <v:rect id="_x0000_i1044" style="width:0;height:1.5pt" o:hralign="center" o:hrstd="t" o:hr="t"/>
        </w:pict>
      </w:r>
    </w:p>
    <w:p w14:paraId="67D1D32B" w14:textId="77777777" w:rsidR="0036737B" w:rsidRDefault="00000000">
      <w:pPr>
        <w:pStyle w:val="Heading2"/>
      </w:pPr>
      <w:bookmarkStart w:id="23" w:name="appendix-b-reviewer-framing"/>
      <w:bookmarkEnd w:id="22"/>
      <w:r>
        <w:t>Appendix B: Reviewer Framing</w:t>
      </w:r>
    </w:p>
    <w:p w14:paraId="779F123A" w14:textId="77777777" w:rsidR="0036737B" w:rsidRDefault="00000000">
      <w:pPr>
        <w:pStyle w:val="Compact"/>
        <w:numPr>
          <w:ilvl w:val="0"/>
          <w:numId w:val="13"/>
        </w:numPr>
      </w:pPr>
      <w:r>
        <w:t>KCOR does not assume proportional hazards; it estimates and removes cohort-specific hazard curvature</w:t>
      </w:r>
    </w:p>
    <w:p w14:paraId="2C8B33B5" w14:textId="77777777" w:rsidR="0036737B" w:rsidRDefault="00000000">
      <w:pPr>
        <w:pStyle w:val="Compact"/>
        <w:numPr>
          <w:ilvl w:val="0"/>
          <w:numId w:val="13"/>
        </w:numPr>
      </w:pPr>
      <w:r>
        <w:t>Normalization occurs in log-hazard space, not cumulative mortality space</w:t>
      </w:r>
    </w:p>
    <w:p w14:paraId="734B6B4F" w14:textId="77777777" w:rsidR="0036737B" w:rsidRDefault="00000000">
      <w:pPr>
        <w:pStyle w:val="Compact"/>
        <w:numPr>
          <w:ilvl w:val="0"/>
          <w:numId w:val="13"/>
        </w:numPr>
      </w:pPr>
      <w:r>
        <w:t>The generalized model preserves Gompertz asymptotics while capturing depletion/selection curvature</w:t>
      </w:r>
    </w:p>
    <w:p w14:paraId="2F60BD9F" w14:textId="77777777" w:rsidR="0036737B" w:rsidRDefault="00000000">
      <w:pPr>
        <w:pStyle w:val="Compact"/>
        <w:numPr>
          <w:ilvl w:val="0"/>
          <w:numId w:val="13"/>
        </w:numPr>
      </w:pPr>
      <w:r>
        <w:lastRenderedPageBreak/>
        <w:t>Negative controls demonstrate KCOR does not generate spurious signals under extreme selection</w:t>
      </w:r>
    </w:p>
    <w:p w14:paraId="2D57436C" w14:textId="77777777" w:rsidR="0036737B" w:rsidRDefault="00000000">
      <w:pPr>
        <w:pStyle w:val="Compact"/>
        <w:numPr>
          <w:ilvl w:val="0"/>
          <w:numId w:val="13"/>
        </w:numPr>
      </w:pPr>
      <w:r>
        <w:t>The method is generic: it applies to any cohort comparison with selection-induced curvature</w:t>
      </w:r>
      <w:bookmarkEnd w:id="0"/>
      <w:bookmarkEnd w:id="23"/>
    </w:p>
    <w:sectPr w:rsidR="0036737B"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1B7129" w14:textId="77777777" w:rsidR="003902BA" w:rsidRDefault="003902BA">
      <w:pPr>
        <w:spacing w:after="0"/>
      </w:pPr>
      <w:r>
        <w:separator/>
      </w:r>
    </w:p>
  </w:endnote>
  <w:endnote w:type="continuationSeparator" w:id="0">
    <w:p w14:paraId="70822888" w14:textId="77777777" w:rsidR="003902BA" w:rsidRDefault="003902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8B8E4" w14:textId="77777777" w:rsidR="003902BA" w:rsidRDefault="003902BA">
      <w:r>
        <w:separator/>
      </w:r>
    </w:p>
  </w:footnote>
  <w:footnote w:type="continuationSeparator" w:id="0">
    <w:p w14:paraId="0B172812" w14:textId="77777777" w:rsidR="003902BA" w:rsidRDefault="003902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1096B096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1" w15:restartNumberingAfterBreak="0">
    <w:nsid w:val="0000A991"/>
    <w:multiLevelType w:val="multilevel"/>
    <w:tmpl w:val="796A561C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 w16cid:durableId="1276014980">
    <w:abstractNumId w:val="0"/>
  </w:num>
  <w:num w:numId="2" w16cid:durableId="1189297763">
    <w:abstractNumId w:val="1"/>
  </w:num>
  <w:num w:numId="3" w16cid:durableId="778723723">
    <w:abstractNumId w:val="1"/>
  </w:num>
  <w:num w:numId="4" w16cid:durableId="1804494960">
    <w:abstractNumId w:val="1"/>
  </w:num>
  <w:num w:numId="5" w16cid:durableId="1785036416">
    <w:abstractNumId w:val="1"/>
  </w:num>
  <w:num w:numId="6" w16cid:durableId="1279220033">
    <w:abstractNumId w:val="1"/>
  </w:num>
  <w:num w:numId="7" w16cid:durableId="1894585183">
    <w:abstractNumId w:val="1"/>
  </w:num>
  <w:num w:numId="8" w16cid:durableId="1924290570">
    <w:abstractNumId w:val="1"/>
  </w:num>
  <w:num w:numId="9" w16cid:durableId="1501001672">
    <w:abstractNumId w:val="1"/>
  </w:num>
  <w:num w:numId="10" w16cid:durableId="360935422">
    <w:abstractNumId w:val="1"/>
  </w:num>
  <w:num w:numId="11" w16cid:durableId="507403248">
    <w:abstractNumId w:val="1"/>
  </w:num>
  <w:num w:numId="12" w16cid:durableId="1832869290">
    <w:abstractNumId w:val="1"/>
  </w:num>
  <w:num w:numId="13" w16cid:durableId="14416040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737B"/>
    <w:rsid w:val="0036737B"/>
    <w:rsid w:val="003902BA"/>
    <w:rsid w:val="004C1D4C"/>
    <w:rsid w:val="00BE1E0B"/>
    <w:rsid w:val="00F4303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2B0C"/>
  <w15:docId w15:val="{27B49B24-60B6-4D07-8944-B5F2E148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Cs/>
      <w:i/>
      <w:color w:val="4F81BD" w:themeColor="accent1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1223</Words>
  <Characters>6974</Characters>
  <Application>Microsoft Office Word</Application>
  <DocSecurity>0</DocSecurity>
  <Lines>58</Lines>
  <Paragraphs>16</Paragraphs>
  <ScaleCrop>false</ScaleCrop>
  <Company/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>Steve Kirsch</cp:lastModifiedBy>
  <cp:revision>3</cp:revision>
  <dcterms:created xsi:type="dcterms:W3CDTF">2025-12-14T01:35:00Z</dcterms:created>
  <dcterms:modified xsi:type="dcterms:W3CDTF">2025-12-14T01:52:00Z</dcterms:modified>
</cp:coreProperties>
</file>